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rPr>
      </w:pPr>
    </w:p>
    <w:p>
      <w:pPr>
        <w:rPr>
          <w:rFonts w:ascii="仿宋_GB2312"/>
        </w:rPr>
      </w:pPr>
    </w:p>
    <w:p>
      <w:pPr>
        <w:rPr>
          <w:rFonts w:ascii="仿宋_GB2312"/>
        </w:rPr>
      </w:pPr>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津滨审批二室准〔2022〕176 号 </w:t>
      </w:r>
      <w:bookmarkStart w:id="3" w:name="_GoBack"/>
      <w:bookmarkEnd w:id="3"/>
    </w:p>
    <w:p>
      <w:pPr>
        <w:pStyle w:val="9"/>
        <w:spacing w:line="360" w:lineRule="auto"/>
        <w:jc w:val="center"/>
        <w:rPr>
          <w:sz w:val="32"/>
          <w:szCs w:val="32"/>
        </w:rPr>
      </w:pPr>
      <w:r>
        <w:rPr>
          <w:rFonts w:hint="eastAsia"/>
          <w:sz w:val="32"/>
          <w:szCs w:val="32"/>
        </w:rPr>
        <w:t>项目代码：</w:t>
      </w:r>
      <w:r>
        <w:rPr>
          <w:sz w:val="32"/>
          <w:szCs w:val="32"/>
        </w:rPr>
        <w:t>2202-120116-89-01-490253</w:t>
      </w:r>
    </w:p>
    <w:p>
      <w:pPr>
        <w:widowControl/>
        <w:shd w:val="clear" w:color="auto" w:fill="FFFFFF"/>
        <w:adjustRightInd w:val="0"/>
        <w:snapToGrid w:val="0"/>
        <w:jc w:val="center"/>
        <w:rPr>
          <w:rFonts w:eastAsia="方正小标宋简体"/>
          <w:color w:val="000000"/>
          <w:sz w:val="44"/>
        </w:rPr>
      </w:pPr>
      <w:r>
        <w:rPr>
          <w:rFonts w:hint="eastAsia" w:eastAsia="方正小标宋简体"/>
          <w:color w:val="000000"/>
          <w:sz w:val="44"/>
        </w:rPr>
        <w:t>关于</w:t>
      </w:r>
      <w:bookmarkStart w:id="0" w:name="_Hlk101163406"/>
      <w:r>
        <w:rPr>
          <w:rFonts w:eastAsia="方正小标宋简体"/>
          <w:color w:val="000000"/>
          <w:sz w:val="44"/>
        </w:rPr>
        <w:t>黄万铁路电气化改造工程（天津段）</w:t>
      </w:r>
      <w:bookmarkEnd w:id="0"/>
    </w:p>
    <w:p>
      <w:pPr>
        <w:widowControl/>
        <w:shd w:val="clear" w:color="auto" w:fill="FFFFFF"/>
        <w:adjustRightInd w:val="0"/>
        <w:snapToGrid w:val="0"/>
        <w:jc w:val="center"/>
        <w:rPr>
          <w:rFonts w:eastAsia="方正小标宋简体"/>
          <w:color w:val="000000"/>
          <w:sz w:val="44"/>
        </w:rPr>
      </w:pPr>
      <w:r>
        <w:rPr>
          <w:rFonts w:eastAsia="方正小标宋简体"/>
          <w:color w:val="000000"/>
          <w:sz w:val="44"/>
        </w:rPr>
        <w:t>环境影响报告表的批复</w:t>
      </w:r>
    </w:p>
    <w:p>
      <w:pPr>
        <w:spacing w:line="600" w:lineRule="exact"/>
        <w:jc w:val="center"/>
        <w:rPr>
          <w:b/>
          <w:color w:val="000000"/>
          <w:sz w:val="44"/>
        </w:rPr>
      </w:pPr>
    </w:p>
    <w:p>
      <w:pPr>
        <w:pStyle w:val="9"/>
        <w:rPr>
          <w:sz w:val="32"/>
          <w:szCs w:val="32"/>
        </w:rPr>
      </w:pPr>
      <w:bookmarkStart w:id="1" w:name="_Hlk101163154"/>
      <w:r>
        <w:rPr>
          <w:sz w:val="32"/>
          <w:szCs w:val="32"/>
        </w:rPr>
        <w:t>国能朔黄铁路发展有限责任公司</w:t>
      </w:r>
      <w:bookmarkEnd w:id="1"/>
      <w:r>
        <w:rPr>
          <w:sz w:val="32"/>
          <w:szCs w:val="32"/>
        </w:rPr>
        <w:t>：</w:t>
      </w:r>
    </w:p>
    <w:p>
      <w:pPr>
        <w:pStyle w:val="9"/>
        <w:spacing w:line="360" w:lineRule="auto"/>
        <w:ind w:firstLine="662" w:firstLineChars="207"/>
        <w:rPr>
          <w:sz w:val="32"/>
          <w:szCs w:val="32"/>
        </w:rPr>
      </w:pPr>
      <w:r>
        <w:rPr>
          <w:sz w:val="32"/>
          <w:szCs w:val="32"/>
        </w:rPr>
        <w:t>你</w:t>
      </w:r>
      <w:r>
        <w:rPr>
          <w:rFonts w:hint="eastAsia"/>
          <w:sz w:val="32"/>
          <w:szCs w:val="32"/>
        </w:rPr>
        <w:t>单位提交的《关于报批</w:t>
      </w:r>
      <w:r>
        <w:rPr>
          <w:sz w:val="32"/>
          <w:szCs w:val="32"/>
        </w:rPr>
        <w:t>黄万铁路电气化改造工程（天津段）环境影响报告表</w:t>
      </w:r>
      <w:r>
        <w:rPr>
          <w:rFonts w:hint="eastAsia"/>
          <w:sz w:val="32"/>
          <w:szCs w:val="32"/>
        </w:rPr>
        <w:t>的请示》、</w:t>
      </w:r>
      <w:r>
        <w:rPr>
          <w:sz w:val="32"/>
          <w:szCs w:val="32"/>
        </w:rPr>
        <w:t>《黄万铁路电气化改造工程（天津段）</w:t>
      </w:r>
      <w:r>
        <w:rPr>
          <w:rFonts w:hint="eastAsia"/>
          <w:sz w:val="32"/>
          <w:szCs w:val="32"/>
        </w:rPr>
        <w:t>环境影响报告表</w:t>
      </w:r>
      <w:r>
        <w:rPr>
          <w:sz w:val="32"/>
          <w:szCs w:val="32"/>
        </w:rPr>
        <w:t>》及其</w:t>
      </w:r>
      <w:r>
        <w:rPr>
          <w:rFonts w:hint="eastAsia"/>
          <w:sz w:val="32"/>
          <w:szCs w:val="32"/>
        </w:rPr>
        <w:t>相关材料</w:t>
      </w:r>
      <w:r>
        <w:rPr>
          <w:sz w:val="32"/>
          <w:szCs w:val="32"/>
        </w:rPr>
        <w:t>收悉。经研究，现批复如下：</w:t>
      </w:r>
    </w:p>
    <w:p>
      <w:pPr>
        <w:tabs>
          <w:tab w:val="left" w:pos="4752"/>
        </w:tabs>
        <w:spacing w:line="360" w:lineRule="auto"/>
        <w:ind w:firstLine="640" w:firstLineChars="200"/>
        <w:rPr>
          <w:bCs/>
        </w:rPr>
      </w:pPr>
      <w:r>
        <w:t>一、</w:t>
      </w:r>
      <w:r>
        <w:rPr>
          <w:rFonts w:hint="eastAsia"/>
        </w:rPr>
        <w:t>你单位拟</w:t>
      </w:r>
      <w:bookmarkStart w:id="2" w:name="_Hlk98957137"/>
      <w:r>
        <w:rPr>
          <w:rFonts w:hint="eastAsia"/>
        </w:rPr>
        <w:t>投资</w:t>
      </w:r>
      <w:r>
        <w:t>49000</w:t>
      </w:r>
      <w:bookmarkEnd w:id="2"/>
      <w:r>
        <w:rPr>
          <w:rFonts w:hint="eastAsia"/>
        </w:rPr>
        <w:t>万元人民币对黄万铁路实施电气化改造工程（以下简称“工程”）</w:t>
      </w:r>
      <w:r>
        <w:rPr>
          <w:rFonts w:hint="eastAsia"/>
          <w:bCs/>
        </w:rPr>
        <w:t>。工程包含黄万铁路（天津段）及神华进港铁路段两部分：黄万铁路（天津段）从天津河北省界开始，经过窦庄子站、郭庄子站、北港农场站、大港水库站行至万家码头站（不在本次环评范围），线路全长</w:t>
      </w:r>
      <w:r>
        <w:rPr>
          <w:bCs/>
        </w:rPr>
        <w:t>37.803km</w:t>
      </w:r>
      <w:r>
        <w:rPr>
          <w:rFonts w:hint="eastAsia"/>
          <w:bCs/>
        </w:rPr>
        <w:t>。进港铁路里程从南环公司与神港分局界至神港站</w:t>
      </w:r>
      <w:r>
        <w:rPr>
          <w:bCs/>
        </w:rPr>
        <w:t>402#</w:t>
      </w:r>
      <w:r>
        <w:rPr>
          <w:rFonts w:hint="eastAsia"/>
          <w:bCs/>
        </w:rPr>
        <w:t>车挡前，线路全长</w:t>
      </w:r>
      <w:r>
        <w:rPr>
          <w:bCs/>
        </w:rPr>
        <w:t>12.781km</w:t>
      </w:r>
      <w:r>
        <w:rPr>
          <w:rFonts w:hint="eastAsia"/>
          <w:bCs/>
        </w:rPr>
        <w:t>。工程建设内容为对既有铁路线进行电气化改造：新建接触网</w:t>
      </w:r>
      <w:r>
        <w:rPr>
          <w:bCs/>
        </w:rPr>
        <w:t xml:space="preserve">102 </w:t>
      </w:r>
      <w:r>
        <w:rPr>
          <w:rFonts w:hint="eastAsia"/>
          <w:bCs/>
        </w:rPr>
        <w:t>公里，改造接触网</w:t>
      </w:r>
      <w:r>
        <w:rPr>
          <w:bCs/>
        </w:rPr>
        <w:t>2.5</w:t>
      </w:r>
      <w:r>
        <w:rPr>
          <w:rFonts w:hint="eastAsia"/>
          <w:bCs/>
        </w:rPr>
        <w:t>公里，接触网电压等级为</w:t>
      </w:r>
      <w:r>
        <w:rPr>
          <w:bCs/>
        </w:rPr>
        <w:t>27.5kV</w:t>
      </w:r>
      <w:r>
        <w:rPr>
          <w:rFonts w:hint="eastAsia"/>
          <w:bCs/>
        </w:rPr>
        <w:t>；郭庄子站处新建</w:t>
      </w:r>
      <w:r>
        <w:rPr>
          <w:bCs/>
        </w:rPr>
        <w:t xml:space="preserve">1 </w:t>
      </w:r>
      <w:r>
        <w:rPr>
          <w:rFonts w:hint="eastAsia"/>
          <w:bCs/>
        </w:rPr>
        <w:t>座</w:t>
      </w:r>
      <w:r>
        <w:rPr>
          <w:bCs/>
        </w:rPr>
        <w:t>2</w:t>
      </w:r>
      <w:r>
        <w:rPr>
          <w:rFonts w:hint="eastAsia"/>
          <w:bCs/>
        </w:rPr>
        <w:t>×</w:t>
      </w:r>
      <w:r>
        <w:rPr>
          <w:bCs/>
        </w:rPr>
        <w:t>(20</w:t>
      </w:r>
      <w:r>
        <w:rPr>
          <w:rFonts w:hint="eastAsia"/>
          <w:bCs/>
        </w:rPr>
        <w:t>＋</w:t>
      </w:r>
      <w:r>
        <w:rPr>
          <w:bCs/>
        </w:rPr>
        <w:t xml:space="preserve">20)MVA </w:t>
      </w:r>
      <w:r>
        <w:rPr>
          <w:rFonts w:hint="eastAsia"/>
          <w:bCs/>
        </w:rPr>
        <w:t>容量牵引变电所（线路接入、接出工程不在本次建设范围内）；建设网上开关站</w:t>
      </w:r>
      <w:r>
        <w:rPr>
          <w:bCs/>
        </w:rPr>
        <w:t xml:space="preserve">6 </w:t>
      </w:r>
      <w:r>
        <w:rPr>
          <w:rFonts w:hint="eastAsia"/>
          <w:bCs/>
        </w:rPr>
        <w:t>处，电压等级为</w:t>
      </w:r>
      <w:r>
        <w:rPr>
          <w:bCs/>
        </w:rPr>
        <w:t>27.5kV</w:t>
      </w:r>
      <w:r>
        <w:rPr>
          <w:rFonts w:hint="eastAsia"/>
          <w:bCs/>
        </w:rPr>
        <w:t>；神港站内接建信号楼，在车站外新增占地处新建综合办公楼（2000m</w:t>
      </w:r>
      <w:r>
        <w:rPr>
          <w:rFonts w:hint="eastAsia"/>
          <w:bCs/>
          <w:vertAlign w:val="superscript"/>
        </w:rPr>
        <w:t>2</w:t>
      </w:r>
      <w:r>
        <w:rPr>
          <w:rFonts w:hint="eastAsia"/>
          <w:bCs/>
        </w:rPr>
        <w:t>）、新建1处</w:t>
      </w:r>
      <w:r>
        <w:rPr>
          <w:bCs/>
        </w:rPr>
        <w:t xml:space="preserve">27.5kV </w:t>
      </w:r>
      <w:r>
        <w:rPr>
          <w:rFonts w:hint="eastAsia"/>
          <w:bCs/>
        </w:rPr>
        <w:t>开闭所（450m</w:t>
      </w:r>
      <w:r>
        <w:rPr>
          <w:rFonts w:hint="eastAsia"/>
          <w:bCs/>
          <w:vertAlign w:val="superscript"/>
        </w:rPr>
        <w:t>2</w:t>
      </w:r>
      <w:r>
        <w:rPr>
          <w:rFonts w:hint="eastAsia"/>
          <w:bCs/>
        </w:rPr>
        <w:t>）、新建箱式变电所2座；，北港农场站在既有用地范围内新建接触网工区待班楼（600m</w:t>
      </w:r>
      <w:r>
        <w:rPr>
          <w:rFonts w:hint="eastAsia"/>
          <w:bCs/>
          <w:vertAlign w:val="superscript"/>
        </w:rPr>
        <w:t>2</w:t>
      </w:r>
      <w:r>
        <w:rPr>
          <w:rFonts w:hint="eastAsia"/>
          <w:bCs/>
        </w:rPr>
        <w:t>）；改造既有开闭所1处及联锁道岔</w:t>
      </w:r>
      <w:r>
        <w:rPr>
          <w:bCs/>
        </w:rPr>
        <w:t xml:space="preserve">75 </w:t>
      </w:r>
      <w:r>
        <w:rPr>
          <w:rFonts w:hint="eastAsia"/>
          <w:bCs/>
        </w:rPr>
        <w:t>组。项目建成后运输能力及列车对数不变。</w:t>
      </w:r>
    </w:p>
    <w:p>
      <w:pPr>
        <w:tabs>
          <w:tab w:val="left" w:pos="4752"/>
        </w:tabs>
        <w:spacing w:line="360" w:lineRule="auto"/>
        <w:ind w:firstLine="640" w:firstLineChars="200"/>
        <w:rPr>
          <w:bCs/>
        </w:rPr>
      </w:pPr>
      <w:r>
        <w:rPr>
          <w:rFonts w:hint="eastAsia"/>
          <w:bCs/>
        </w:rPr>
        <w:t>项目环保投资330万元，占总投资的0.67%，预计于2</w:t>
      </w:r>
      <w:r>
        <w:rPr>
          <w:bCs/>
        </w:rPr>
        <w:t>02</w:t>
      </w:r>
      <w:r>
        <w:rPr>
          <w:rFonts w:hint="eastAsia"/>
          <w:bCs/>
        </w:rPr>
        <w:t>4年6月竣工。</w:t>
      </w:r>
    </w:p>
    <w:p>
      <w:pPr>
        <w:tabs>
          <w:tab w:val="left" w:pos="4752"/>
        </w:tabs>
        <w:spacing w:line="360" w:lineRule="auto"/>
        <w:ind w:firstLine="640" w:firstLineChars="200"/>
        <w:rPr>
          <w:bCs/>
        </w:rPr>
      </w:pPr>
      <w:r>
        <w:t>20</w:t>
      </w:r>
      <w:r>
        <w:rPr>
          <w:rFonts w:hint="eastAsia"/>
        </w:rPr>
        <w:t>22</w:t>
      </w:r>
      <w:r>
        <w:t>年</w:t>
      </w:r>
      <w:r>
        <w:rPr>
          <w:rFonts w:hint="eastAsia"/>
        </w:rPr>
        <w:t>6</w:t>
      </w:r>
      <w:r>
        <w:t>月</w:t>
      </w:r>
      <w:r>
        <w:rPr>
          <w:rFonts w:hint="eastAsia"/>
        </w:rPr>
        <w:t>30</w:t>
      </w:r>
      <w:r>
        <w:t>日至</w:t>
      </w:r>
      <w:r>
        <w:rPr>
          <w:rFonts w:hint="eastAsia"/>
        </w:rPr>
        <w:t>7</w:t>
      </w:r>
      <w:r>
        <w:t>月</w:t>
      </w:r>
      <w:r>
        <w:rPr>
          <w:rFonts w:hint="eastAsia"/>
        </w:rPr>
        <w:t>6</w:t>
      </w:r>
      <w:r>
        <w:t>日，我局将该项目受理情况进行公示；</w:t>
      </w:r>
      <w:r>
        <w:rPr>
          <w:rFonts w:hint="eastAsia"/>
        </w:rPr>
        <w:t>9</w:t>
      </w:r>
      <w:r>
        <w:t>月</w:t>
      </w:r>
      <w:r>
        <w:rPr>
          <w:rFonts w:hint="eastAsia"/>
        </w:rPr>
        <w:t>9日至9月15日</w:t>
      </w:r>
      <w:r>
        <w:t>，将该项目拟批复情况进行公示；根据公众反馈意见情况及环评报告结论，在严格落实环评报告所提出的各项污染防治措施、确保各类污染物稳定达标的前提下，同意该项目建设。</w:t>
      </w:r>
    </w:p>
    <w:p>
      <w:pPr>
        <w:pStyle w:val="9"/>
        <w:spacing w:line="600" w:lineRule="exact"/>
        <w:ind w:firstLine="662" w:firstLineChars="207"/>
        <w:rPr>
          <w:rFonts w:ascii="Calibri" w:hAnsi="Calibri"/>
          <w:kern w:val="2"/>
          <w:sz w:val="32"/>
          <w:szCs w:val="32"/>
        </w:rPr>
      </w:pPr>
      <w:r>
        <w:rPr>
          <w:rFonts w:hint="eastAsia" w:ascii="Calibri" w:hAnsi="Calibri"/>
          <w:kern w:val="2"/>
          <w:sz w:val="32"/>
          <w:szCs w:val="32"/>
        </w:rPr>
        <w:t>二</w:t>
      </w:r>
      <w:r>
        <w:rPr>
          <w:rFonts w:ascii="Calibri" w:hAnsi="Calibri"/>
          <w:kern w:val="2"/>
          <w:sz w:val="32"/>
          <w:szCs w:val="32"/>
        </w:rPr>
        <w:t>、</w:t>
      </w:r>
      <w:r>
        <w:rPr>
          <w:rFonts w:hint="eastAsia" w:ascii="Calibri" w:hAnsi="Calibri"/>
          <w:kern w:val="2"/>
          <w:sz w:val="32"/>
          <w:szCs w:val="32"/>
        </w:rPr>
        <w:t>项目建设期间，你公司应重点做好以下工作：</w:t>
      </w:r>
    </w:p>
    <w:p>
      <w:pPr>
        <w:pStyle w:val="9"/>
        <w:spacing w:line="600" w:lineRule="exact"/>
        <w:ind w:firstLine="662" w:firstLineChars="207"/>
        <w:rPr>
          <w:rFonts w:ascii="Calibri" w:hAnsi="Calibri"/>
          <w:kern w:val="2"/>
          <w:sz w:val="32"/>
          <w:szCs w:val="32"/>
        </w:rPr>
      </w:pPr>
      <w:r>
        <w:rPr>
          <w:rFonts w:ascii="Calibri" w:hAnsi="Calibri"/>
          <w:kern w:val="2"/>
          <w:sz w:val="32"/>
          <w:szCs w:val="32"/>
        </w:rPr>
        <w:t>1</w:t>
      </w:r>
      <w:r>
        <w:rPr>
          <w:rFonts w:hint="eastAsia" w:ascii="Calibri" w:hAnsi="Calibri"/>
          <w:kern w:val="2"/>
          <w:sz w:val="32"/>
          <w:szCs w:val="32"/>
        </w:rPr>
        <w:t>、</w:t>
      </w:r>
      <w:r>
        <w:rPr>
          <w:rFonts w:ascii="Calibri" w:hAnsi="Calibri"/>
          <w:kern w:val="2"/>
          <w:sz w:val="32"/>
          <w:szCs w:val="32"/>
        </w:rPr>
        <w:t>严格贯彻《天津市大气污染物防治条例》、《</w:t>
      </w:r>
      <w:r>
        <w:rPr>
          <w:rFonts w:hint="eastAsia" w:ascii="Calibri" w:hAnsi="Calibri"/>
          <w:kern w:val="2"/>
          <w:sz w:val="32"/>
          <w:szCs w:val="32"/>
        </w:rPr>
        <w:t>天津市重污染天气应急预案</w:t>
      </w:r>
      <w:r>
        <w:rPr>
          <w:rFonts w:ascii="Calibri" w:hAnsi="Calibri"/>
          <w:kern w:val="2"/>
          <w:sz w:val="32"/>
          <w:szCs w:val="32"/>
        </w:rPr>
        <w:t>》等</w:t>
      </w:r>
      <w:r>
        <w:rPr>
          <w:rFonts w:hint="eastAsia" w:ascii="Calibri" w:hAnsi="Calibri"/>
          <w:kern w:val="2"/>
          <w:sz w:val="32"/>
          <w:szCs w:val="32"/>
        </w:rPr>
        <w:t>文件规定，施工过程落实“六个百分百”、重污染天气应急响应、场地洒水抑尘</w:t>
      </w:r>
      <w:r>
        <w:rPr>
          <w:rFonts w:ascii="Calibri" w:hAnsi="Calibri"/>
          <w:kern w:val="2"/>
          <w:sz w:val="32"/>
          <w:szCs w:val="32"/>
        </w:rPr>
        <w:t>等各项污染防治措施</w:t>
      </w:r>
      <w:r>
        <w:rPr>
          <w:rFonts w:hint="eastAsia" w:ascii="Calibri" w:hAnsi="Calibri"/>
          <w:kern w:val="2"/>
          <w:sz w:val="32"/>
          <w:szCs w:val="32"/>
        </w:rPr>
        <w:t>，做好施工机械、车辆养护管理，确保施工扬尘及施工机械尾气排放不对环境造成不良影响。</w:t>
      </w:r>
    </w:p>
    <w:p>
      <w:pPr>
        <w:spacing w:line="600" w:lineRule="exact"/>
        <w:ind w:firstLine="640" w:firstLineChars="200"/>
      </w:pPr>
      <w:r>
        <w:rPr>
          <w:rFonts w:hint="eastAsia"/>
        </w:rPr>
        <w:t>2、采取有效的施工机械噪声、振动污染防治措施，确保施工场界噪声达标</w:t>
      </w:r>
      <w:r>
        <w:t>。</w:t>
      </w:r>
      <w:r>
        <w:rPr>
          <w:rFonts w:hint="eastAsia"/>
        </w:rPr>
        <w:t>施工冲洗废水循环使用、不外排；施工人员生活污水依托临时厕所或站场原有设施。</w:t>
      </w:r>
    </w:p>
    <w:p>
      <w:pPr>
        <w:spacing w:line="600" w:lineRule="exact"/>
        <w:ind w:firstLine="640" w:firstLineChars="200"/>
      </w:pPr>
      <w:r>
        <w:rPr>
          <w:rFonts w:hint="eastAsia"/>
        </w:rPr>
        <w:t>3、合理安排施工工期，严格控制施工范围，临时占地均应位于既有或新增的永久用地范围内，及时妥善处理施工固体废弃物，避免对生态环境带来影响。</w:t>
      </w:r>
    </w:p>
    <w:p>
      <w:pPr>
        <w:spacing w:line="560" w:lineRule="exact"/>
        <w:ind w:firstLine="640" w:firstLineChars="200"/>
      </w:pPr>
      <w:r>
        <w:rPr>
          <w:rFonts w:hint="eastAsia"/>
        </w:rPr>
        <w:t>三、项目运营过程中，你公司应重点做好以下工作：</w:t>
      </w:r>
    </w:p>
    <w:p>
      <w:pPr>
        <w:spacing w:line="600" w:lineRule="exact"/>
        <w:ind w:firstLine="640" w:firstLineChars="200"/>
      </w:pPr>
      <w:r>
        <w:rPr>
          <w:rFonts w:hint="eastAsia"/>
        </w:rPr>
        <w:t>1、神港站新增餐饮废水经隔油池处理后与生活污水一并进入现有处理设施处理后回用；北港农场车站新增餐饮废水经隔油池处理后与生活污水经现有污水处理设施处理后回用；郭庄子站新增牵引变电所</w:t>
      </w:r>
      <w:r>
        <w:t xml:space="preserve">1 </w:t>
      </w:r>
      <w:r>
        <w:rPr>
          <w:rFonts w:hint="eastAsia"/>
        </w:rPr>
        <w:t>处，生活污水和餐饮废水经化粪池后清掏处理。</w:t>
      </w:r>
    </w:p>
    <w:p>
      <w:pPr>
        <w:spacing w:line="600" w:lineRule="exact"/>
        <w:ind w:firstLine="640" w:firstLineChars="200"/>
      </w:pPr>
      <w:r>
        <w:rPr>
          <w:rFonts w:hint="eastAsia"/>
        </w:rPr>
        <w:t>项目站场食堂油烟经油烟净化器处理后达标排放，职工生活垃圾由环卫部门清运处理。</w:t>
      </w:r>
    </w:p>
    <w:p>
      <w:pPr>
        <w:spacing w:line="560" w:lineRule="exact"/>
        <w:ind w:firstLine="630"/>
      </w:pPr>
      <w:r>
        <w:rPr>
          <w:rFonts w:hint="eastAsia"/>
        </w:rPr>
        <w:t>2、郭庄子站处变电站建设应认真执行变电站行业涉及与建筑技术规范，落实电磁影响防护措施，确保变电站周边工频电场和工频磁感应强度符合《电磁环境控制限值》（GB8702-2014）限值要求。</w:t>
      </w:r>
    </w:p>
    <w:p>
      <w:pPr>
        <w:spacing w:line="560" w:lineRule="exact"/>
        <w:ind w:firstLine="630"/>
      </w:pPr>
      <w:r>
        <w:rPr>
          <w:rFonts w:hint="eastAsia"/>
        </w:rPr>
        <w:t>对主要噪声源要合理布局，并采取隔声、降噪、减振等措施，使噪声满足排放限值的要求。</w:t>
      </w:r>
    </w:p>
    <w:p>
      <w:pPr>
        <w:spacing w:line="560" w:lineRule="exact"/>
        <w:ind w:firstLine="630"/>
      </w:pPr>
      <w:r>
        <w:rPr>
          <w:rFonts w:hint="eastAsia"/>
        </w:rPr>
        <w:t>变电站废蓄电池和废变压器油属于危险废物，应交由有资质单位处置。</w:t>
      </w:r>
    </w:p>
    <w:p>
      <w:pPr>
        <w:spacing w:line="560" w:lineRule="exact"/>
        <w:ind w:firstLine="630"/>
      </w:pPr>
      <w:r>
        <w:rPr>
          <w:rFonts w:hint="eastAsia"/>
        </w:rPr>
        <w:t>完善突发环境事件应急处置措施，设置具有防渗措施的事故储油池，池容量应满足收纳变压器的事故泄漏量。</w:t>
      </w:r>
    </w:p>
    <w:p>
      <w:pPr>
        <w:spacing w:line="600" w:lineRule="exact"/>
        <w:ind w:firstLine="640" w:firstLineChars="200"/>
        <w:textAlignment w:val="baseline"/>
      </w:pPr>
      <w:r>
        <w:rPr>
          <w:rFonts w:hint="eastAsia"/>
        </w:rPr>
        <w:t>四、</w:t>
      </w:r>
      <w:r>
        <w:t>项目建设应严格执行环境保护设施与主体工程同时设计、同时施工、同时投产使用的“三同时”管理制度。项目</w:t>
      </w:r>
      <w:r>
        <w:rPr>
          <w:rFonts w:hint="eastAsia"/>
        </w:rPr>
        <w:t>应</w:t>
      </w:r>
      <w:r>
        <w:t>按规定</w:t>
      </w:r>
      <w:r>
        <w:rPr>
          <w:rFonts w:hint="eastAsia"/>
        </w:rPr>
        <w:t>标准和</w:t>
      </w:r>
      <w:r>
        <w:t>程序</w:t>
      </w:r>
      <w:r>
        <w:rPr>
          <w:rFonts w:hint="eastAsia"/>
        </w:rPr>
        <w:t>开展</w:t>
      </w:r>
      <w:r>
        <w:t>环境保护验收，经验收合格后方可正式投入运营。</w:t>
      </w:r>
    </w:p>
    <w:p>
      <w:pPr>
        <w:spacing w:line="600" w:lineRule="exact"/>
        <w:ind w:firstLine="640" w:firstLineChars="200"/>
        <w:textAlignment w:val="baseline"/>
      </w:pPr>
      <w:r>
        <w:rPr>
          <w:rFonts w:hint="eastAsia"/>
        </w:rPr>
        <w:t>五</w:t>
      </w:r>
      <w:r>
        <w:t>、若建设工程发生重大变动，</w:t>
      </w:r>
      <w:r>
        <w:rPr>
          <w:rFonts w:hint="eastAsia"/>
        </w:rPr>
        <w:t>需</w:t>
      </w:r>
      <w:r>
        <w:t>重新报批建设工程的环境影响评价文件。</w:t>
      </w:r>
    </w:p>
    <w:p>
      <w:pPr>
        <w:pStyle w:val="9"/>
        <w:spacing w:line="600" w:lineRule="exact"/>
        <w:ind w:firstLine="662" w:firstLineChars="207"/>
        <w:rPr>
          <w:sz w:val="32"/>
          <w:szCs w:val="32"/>
        </w:rPr>
      </w:pPr>
      <w:r>
        <w:rPr>
          <w:rFonts w:hint="eastAsia"/>
          <w:sz w:val="32"/>
          <w:szCs w:val="32"/>
        </w:rPr>
        <w:t>六、</w:t>
      </w:r>
      <w:r>
        <w:rPr>
          <w:sz w:val="32"/>
          <w:szCs w:val="32"/>
        </w:rPr>
        <w:t>工程应执行以下</w:t>
      </w:r>
      <w:r>
        <w:rPr>
          <w:rFonts w:hint="eastAsia"/>
          <w:sz w:val="32"/>
          <w:szCs w:val="32"/>
        </w:rPr>
        <w:t>排放</w:t>
      </w:r>
      <w:r>
        <w:rPr>
          <w:sz w:val="32"/>
          <w:szCs w:val="32"/>
        </w:rPr>
        <w:t>标准：</w:t>
      </w:r>
    </w:p>
    <w:p>
      <w:pPr>
        <w:spacing w:line="600" w:lineRule="exact"/>
        <w:ind w:firstLine="640" w:firstLineChars="200"/>
        <w:textAlignment w:val="baseline"/>
      </w:pPr>
      <w:r>
        <w:t>1、</w:t>
      </w:r>
      <w:r>
        <w:rPr>
          <w:rFonts w:hint="eastAsia"/>
        </w:rPr>
        <w:t>《餐饮业油烟排放标准》（</w:t>
      </w:r>
      <w:r>
        <w:t>DB12/644-2016</w:t>
      </w:r>
      <w:r>
        <w:rPr>
          <w:rFonts w:hint="eastAsia"/>
        </w:rPr>
        <w:t>）；</w:t>
      </w:r>
    </w:p>
    <w:p>
      <w:pPr>
        <w:spacing w:line="600" w:lineRule="exact"/>
        <w:ind w:firstLine="640" w:firstLineChars="200"/>
        <w:textAlignment w:val="baseline"/>
      </w:pPr>
      <w:r>
        <w:rPr>
          <w:rFonts w:hint="eastAsia"/>
        </w:rPr>
        <w:t>2、《城市污水再生利用城市杂用水水质》（</w:t>
      </w:r>
      <w:r>
        <w:t>GB/T18920-2020</w:t>
      </w:r>
      <w:r>
        <w:rPr>
          <w:rFonts w:hint="eastAsia"/>
        </w:rPr>
        <w:t>）；</w:t>
      </w:r>
    </w:p>
    <w:p>
      <w:pPr>
        <w:spacing w:line="600" w:lineRule="exact"/>
        <w:ind w:firstLine="640" w:firstLineChars="200"/>
        <w:textAlignment w:val="baseline"/>
      </w:pPr>
      <w:r>
        <w:rPr>
          <w:rFonts w:hint="eastAsia"/>
        </w:rPr>
        <w:t>3、《城市污水再生利用景观环境用水水质》（</w:t>
      </w:r>
      <w:r>
        <w:t>GB18921-2019</w:t>
      </w:r>
      <w:r>
        <w:rPr>
          <w:rFonts w:hint="eastAsia"/>
        </w:rPr>
        <w:t>）；</w:t>
      </w:r>
    </w:p>
    <w:p>
      <w:pPr>
        <w:spacing w:line="600" w:lineRule="exact"/>
        <w:ind w:firstLine="640" w:firstLineChars="200"/>
        <w:textAlignment w:val="baseline"/>
      </w:pPr>
      <w:r>
        <w:rPr>
          <w:rFonts w:hint="eastAsia"/>
        </w:rPr>
        <w:t>4、《工业企业厂界环境噪声排放标准》（</w:t>
      </w:r>
      <w:r>
        <w:t>GB12348-2008</w:t>
      </w:r>
      <w:r>
        <w:rPr>
          <w:rFonts w:hint="eastAsia"/>
        </w:rPr>
        <w:t>）1类；</w:t>
      </w:r>
    </w:p>
    <w:p>
      <w:pPr>
        <w:spacing w:line="600" w:lineRule="exact"/>
        <w:ind w:firstLine="640" w:firstLineChars="200"/>
        <w:textAlignment w:val="baseline"/>
      </w:pPr>
      <w:r>
        <w:rPr>
          <w:rFonts w:hint="eastAsia"/>
        </w:rPr>
        <w:t>5、《城市区域环境振动标准》（GB10070-88）；</w:t>
      </w:r>
    </w:p>
    <w:p>
      <w:pPr>
        <w:spacing w:line="600" w:lineRule="exact"/>
        <w:ind w:firstLine="640" w:firstLineChars="200"/>
        <w:textAlignment w:val="baseline"/>
      </w:pPr>
      <w:r>
        <w:rPr>
          <w:rFonts w:hint="eastAsia"/>
        </w:rPr>
        <w:t>6、《铁路边界噪声限值及其测量方法》（GB12525-90）修改方案；</w:t>
      </w:r>
    </w:p>
    <w:p>
      <w:pPr>
        <w:spacing w:line="600" w:lineRule="exact"/>
        <w:ind w:firstLine="640" w:firstLineChars="200"/>
        <w:textAlignment w:val="baseline"/>
      </w:pPr>
      <w:r>
        <w:rPr>
          <w:rFonts w:hint="eastAsia"/>
        </w:rPr>
        <w:t>7、《建筑施工场环境噪声排放标准》（GB12523-2011）;</w:t>
      </w:r>
    </w:p>
    <w:p>
      <w:pPr>
        <w:spacing w:line="600" w:lineRule="exact"/>
        <w:ind w:firstLine="640" w:firstLineChars="200"/>
        <w:textAlignment w:val="baseline"/>
      </w:pPr>
      <w:r>
        <w:rPr>
          <w:rFonts w:hint="eastAsia"/>
        </w:rPr>
        <w:t>8、《电磁环境控制限值》（</w:t>
      </w:r>
      <w:r>
        <w:t>GB8702-2014</w:t>
      </w:r>
      <w:r>
        <w:rPr>
          <w:rFonts w:hint="eastAsia"/>
        </w:rPr>
        <w:t>）；</w:t>
      </w:r>
    </w:p>
    <w:p>
      <w:pPr>
        <w:spacing w:line="600" w:lineRule="exact"/>
        <w:ind w:firstLine="640" w:firstLineChars="200"/>
        <w:textAlignment w:val="baseline"/>
      </w:pPr>
      <w:r>
        <w:rPr>
          <w:rFonts w:hint="eastAsia"/>
        </w:rPr>
        <w:t>9、</w:t>
      </w:r>
      <w:r>
        <w:t>《危险废物贮存污染控制标准》（GB18597-2001）</w:t>
      </w:r>
      <w:r>
        <w:rPr>
          <w:rFonts w:hint="eastAsia"/>
        </w:rPr>
        <w:t>及其修改单相关要求。</w:t>
      </w:r>
    </w:p>
    <w:p>
      <w:pPr>
        <w:spacing w:line="600" w:lineRule="exact"/>
        <w:ind w:firstLine="640" w:firstLineChars="200"/>
        <w:textAlignment w:val="baseline"/>
      </w:pPr>
      <w:r>
        <w:t>此复</w:t>
      </w:r>
    </w:p>
    <w:p>
      <w:pPr>
        <w:wordWrap w:val="0"/>
        <w:spacing w:line="600" w:lineRule="exact"/>
        <w:jc w:val="right"/>
      </w:pPr>
      <w:r>
        <w:rPr>
          <w:rFonts w:hint="eastAsia"/>
        </w:rPr>
        <w:t xml:space="preserve">           </w:t>
      </w:r>
    </w:p>
    <w:p>
      <w:pPr>
        <w:wordWrap w:val="0"/>
        <w:spacing w:line="360" w:lineRule="auto"/>
        <w:jc w:val="right"/>
      </w:pPr>
      <w:r>
        <w:t>20</w:t>
      </w:r>
      <w:r>
        <w:rPr>
          <w:rFonts w:hint="eastAsia"/>
        </w:rPr>
        <w:t>22</w:t>
      </w:r>
      <w:r>
        <w:t>年</w:t>
      </w:r>
      <w:r>
        <w:rPr>
          <w:rFonts w:hint="eastAsia"/>
        </w:rPr>
        <w:t>9</w:t>
      </w:r>
      <w:r>
        <w:t>月</w:t>
      </w:r>
      <w:r>
        <w:rPr>
          <w:rFonts w:hint="eastAsia"/>
        </w:rPr>
        <w:t>16</w:t>
      </w:r>
      <w:r>
        <w:t>日</w:t>
      </w:r>
      <w:r>
        <w:rPr>
          <w:rFonts w:hint="eastAsia"/>
        </w:rPr>
        <w:t xml:space="preserve">       </w:t>
      </w:r>
    </w:p>
    <w:p>
      <w:pPr>
        <w:spacing w:line="520" w:lineRule="exact"/>
        <w:jc w:val="right"/>
      </w:pPr>
    </w:p>
    <w:p>
      <w:r>
        <w:rPr>
          <w:rFonts w:eastAsia="黑体"/>
        </w:rPr>
        <w:t>主题词：</w:t>
      </w:r>
      <w:r>
        <w:t>环境影响 报告表 批复                （共印4份）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pPr>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r>
              <w:t>天津市滨海新区</w:t>
            </w:r>
            <w:r>
              <w:rPr>
                <w:rFonts w:hint="eastAsia"/>
              </w:rPr>
              <w:t>生态</w:t>
            </w:r>
            <w:r>
              <w:t>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r>
              <w:rPr>
                <w:rFonts w:hint="eastAsia"/>
              </w:rPr>
              <w:t>天津市滨海新区行政审批局</w:t>
            </w:r>
          </w:p>
        </w:tc>
        <w:tc>
          <w:tcPr>
            <w:tcW w:w="3890" w:type="dxa"/>
            <w:tcBorders>
              <w:top w:val="single" w:color="auto" w:sz="8" w:space="0"/>
            </w:tcBorders>
          </w:tcPr>
          <w:p>
            <w:pPr>
              <w:wordWrap w:val="0"/>
              <w:ind w:right="320" w:rightChars="100"/>
              <w:jc w:val="right"/>
            </w:pPr>
            <w:r>
              <w:t>20</w:t>
            </w:r>
            <w:r>
              <w:rPr>
                <w:rFonts w:hint="eastAsia"/>
              </w:rPr>
              <w:t>22</w:t>
            </w:r>
            <w:r>
              <w:t>年</w:t>
            </w:r>
            <w:r>
              <w:rPr>
                <w:rFonts w:hint="eastAsia"/>
              </w:rPr>
              <w:t>9月16</w:t>
            </w:r>
            <w:r>
              <w:t>日印发</w:t>
            </w:r>
          </w:p>
        </w:tc>
      </w:tr>
    </w:tbl>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D"/>
    <w:rsid w:val="000000ED"/>
    <w:rsid w:val="00000454"/>
    <w:rsid w:val="00017EFA"/>
    <w:rsid w:val="00021047"/>
    <w:rsid w:val="0003168F"/>
    <w:rsid w:val="00032953"/>
    <w:rsid w:val="00044853"/>
    <w:rsid w:val="000457F8"/>
    <w:rsid w:val="000548CC"/>
    <w:rsid w:val="00056C68"/>
    <w:rsid w:val="00062FED"/>
    <w:rsid w:val="00063BE2"/>
    <w:rsid w:val="00077ADA"/>
    <w:rsid w:val="00080A98"/>
    <w:rsid w:val="00081584"/>
    <w:rsid w:val="000848F9"/>
    <w:rsid w:val="0008666F"/>
    <w:rsid w:val="000931B0"/>
    <w:rsid w:val="0009352D"/>
    <w:rsid w:val="00097DA8"/>
    <w:rsid w:val="000A22F0"/>
    <w:rsid w:val="000D2113"/>
    <w:rsid w:val="000E069B"/>
    <w:rsid w:val="000E209C"/>
    <w:rsid w:val="000F0B7A"/>
    <w:rsid w:val="000F41E7"/>
    <w:rsid w:val="000F7EEF"/>
    <w:rsid w:val="0011736F"/>
    <w:rsid w:val="00125046"/>
    <w:rsid w:val="00144568"/>
    <w:rsid w:val="00155A9A"/>
    <w:rsid w:val="001602A8"/>
    <w:rsid w:val="00161DA3"/>
    <w:rsid w:val="001636F6"/>
    <w:rsid w:val="00166DED"/>
    <w:rsid w:val="001708D6"/>
    <w:rsid w:val="00177CCF"/>
    <w:rsid w:val="0018483F"/>
    <w:rsid w:val="0019193B"/>
    <w:rsid w:val="001948B9"/>
    <w:rsid w:val="001A21BB"/>
    <w:rsid w:val="001C71C4"/>
    <w:rsid w:val="001D0C9C"/>
    <w:rsid w:val="001D3164"/>
    <w:rsid w:val="001E44A6"/>
    <w:rsid w:val="001F2602"/>
    <w:rsid w:val="00200E60"/>
    <w:rsid w:val="002014D5"/>
    <w:rsid w:val="00203B29"/>
    <w:rsid w:val="00210B83"/>
    <w:rsid w:val="002120F9"/>
    <w:rsid w:val="0024430E"/>
    <w:rsid w:val="00256A5B"/>
    <w:rsid w:val="00261B2D"/>
    <w:rsid w:val="002652C9"/>
    <w:rsid w:val="00275DD8"/>
    <w:rsid w:val="00282601"/>
    <w:rsid w:val="002858A4"/>
    <w:rsid w:val="00296E00"/>
    <w:rsid w:val="002A20E5"/>
    <w:rsid w:val="002A61D2"/>
    <w:rsid w:val="002A648B"/>
    <w:rsid w:val="002C0457"/>
    <w:rsid w:val="002D4DA6"/>
    <w:rsid w:val="002D7082"/>
    <w:rsid w:val="002E692F"/>
    <w:rsid w:val="002E779A"/>
    <w:rsid w:val="003035BA"/>
    <w:rsid w:val="003173AC"/>
    <w:rsid w:val="003276C0"/>
    <w:rsid w:val="00330A22"/>
    <w:rsid w:val="00332F1C"/>
    <w:rsid w:val="00333A90"/>
    <w:rsid w:val="00346E41"/>
    <w:rsid w:val="00355D10"/>
    <w:rsid w:val="003572F8"/>
    <w:rsid w:val="003626BE"/>
    <w:rsid w:val="00366D15"/>
    <w:rsid w:val="003700CA"/>
    <w:rsid w:val="00371A2A"/>
    <w:rsid w:val="00371D93"/>
    <w:rsid w:val="00373B1A"/>
    <w:rsid w:val="00374E8D"/>
    <w:rsid w:val="00380065"/>
    <w:rsid w:val="00385962"/>
    <w:rsid w:val="00395C48"/>
    <w:rsid w:val="003A0AF9"/>
    <w:rsid w:val="003A397F"/>
    <w:rsid w:val="003A3EBD"/>
    <w:rsid w:val="003B4A09"/>
    <w:rsid w:val="003C657C"/>
    <w:rsid w:val="003D7B4C"/>
    <w:rsid w:val="003E18B7"/>
    <w:rsid w:val="003E2BED"/>
    <w:rsid w:val="0040020E"/>
    <w:rsid w:val="004009A2"/>
    <w:rsid w:val="00404088"/>
    <w:rsid w:val="00410313"/>
    <w:rsid w:val="0041139B"/>
    <w:rsid w:val="004116BC"/>
    <w:rsid w:val="004206D8"/>
    <w:rsid w:val="004208F6"/>
    <w:rsid w:val="00427887"/>
    <w:rsid w:val="00431B4A"/>
    <w:rsid w:val="004424D6"/>
    <w:rsid w:val="00495B78"/>
    <w:rsid w:val="004969DE"/>
    <w:rsid w:val="004A5F7D"/>
    <w:rsid w:val="004B1790"/>
    <w:rsid w:val="004B1B4C"/>
    <w:rsid w:val="004B1D77"/>
    <w:rsid w:val="004B6CF6"/>
    <w:rsid w:val="004B7749"/>
    <w:rsid w:val="004D18FA"/>
    <w:rsid w:val="004F587E"/>
    <w:rsid w:val="0050233C"/>
    <w:rsid w:val="005177C9"/>
    <w:rsid w:val="00520063"/>
    <w:rsid w:val="005260EB"/>
    <w:rsid w:val="005326ED"/>
    <w:rsid w:val="0053506B"/>
    <w:rsid w:val="00535942"/>
    <w:rsid w:val="005373AC"/>
    <w:rsid w:val="005413E6"/>
    <w:rsid w:val="005537B6"/>
    <w:rsid w:val="00553D2F"/>
    <w:rsid w:val="00562FAF"/>
    <w:rsid w:val="00571CC2"/>
    <w:rsid w:val="00585DE1"/>
    <w:rsid w:val="005860F7"/>
    <w:rsid w:val="00587615"/>
    <w:rsid w:val="005934C6"/>
    <w:rsid w:val="00597D45"/>
    <w:rsid w:val="005A58A9"/>
    <w:rsid w:val="005A6D2D"/>
    <w:rsid w:val="005B079D"/>
    <w:rsid w:val="005B1982"/>
    <w:rsid w:val="005B2AAF"/>
    <w:rsid w:val="005B7852"/>
    <w:rsid w:val="005E1F3E"/>
    <w:rsid w:val="005E4B9D"/>
    <w:rsid w:val="005F2674"/>
    <w:rsid w:val="005F4F6F"/>
    <w:rsid w:val="00611936"/>
    <w:rsid w:val="00613C76"/>
    <w:rsid w:val="00635419"/>
    <w:rsid w:val="00637D80"/>
    <w:rsid w:val="00641676"/>
    <w:rsid w:val="00644BE7"/>
    <w:rsid w:val="0065312E"/>
    <w:rsid w:val="006618CE"/>
    <w:rsid w:val="00672AB5"/>
    <w:rsid w:val="00673C8E"/>
    <w:rsid w:val="00674D59"/>
    <w:rsid w:val="006814DD"/>
    <w:rsid w:val="00687F41"/>
    <w:rsid w:val="006907C2"/>
    <w:rsid w:val="0069481E"/>
    <w:rsid w:val="006952E6"/>
    <w:rsid w:val="00695751"/>
    <w:rsid w:val="006A3CA1"/>
    <w:rsid w:val="006B0572"/>
    <w:rsid w:val="006C0E08"/>
    <w:rsid w:val="006C517E"/>
    <w:rsid w:val="006C5EDA"/>
    <w:rsid w:val="006C5F72"/>
    <w:rsid w:val="006C666D"/>
    <w:rsid w:val="006C6966"/>
    <w:rsid w:val="006C7509"/>
    <w:rsid w:val="006D0535"/>
    <w:rsid w:val="006E5D15"/>
    <w:rsid w:val="006F0D83"/>
    <w:rsid w:val="0070112D"/>
    <w:rsid w:val="00702DB3"/>
    <w:rsid w:val="007215AD"/>
    <w:rsid w:val="00726DB8"/>
    <w:rsid w:val="00744299"/>
    <w:rsid w:val="00745C96"/>
    <w:rsid w:val="00746C49"/>
    <w:rsid w:val="00764376"/>
    <w:rsid w:val="00783770"/>
    <w:rsid w:val="007838F6"/>
    <w:rsid w:val="00785125"/>
    <w:rsid w:val="007937C9"/>
    <w:rsid w:val="007A22B2"/>
    <w:rsid w:val="007A42BF"/>
    <w:rsid w:val="007A5862"/>
    <w:rsid w:val="007B1172"/>
    <w:rsid w:val="007B6E85"/>
    <w:rsid w:val="007C49A0"/>
    <w:rsid w:val="007C5CCE"/>
    <w:rsid w:val="007C5EE9"/>
    <w:rsid w:val="007E1369"/>
    <w:rsid w:val="007E4422"/>
    <w:rsid w:val="007F0F18"/>
    <w:rsid w:val="007F203B"/>
    <w:rsid w:val="007F3A11"/>
    <w:rsid w:val="007F45F1"/>
    <w:rsid w:val="007F7F4B"/>
    <w:rsid w:val="00836613"/>
    <w:rsid w:val="0084685F"/>
    <w:rsid w:val="00854762"/>
    <w:rsid w:val="0088082E"/>
    <w:rsid w:val="00887217"/>
    <w:rsid w:val="0089128F"/>
    <w:rsid w:val="008B0DFE"/>
    <w:rsid w:val="008B3585"/>
    <w:rsid w:val="008B4AD7"/>
    <w:rsid w:val="008B64A3"/>
    <w:rsid w:val="008B7EC9"/>
    <w:rsid w:val="008B7F60"/>
    <w:rsid w:val="008C5034"/>
    <w:rsid w:val="008D2D84"/>
    <w:rsid w:val="008E7A7C"/>
    <w:rsid w:val="00903AD9"/>
    <w:rsid w:val="00915B0E"/>
    <w:rsid w:val="009171AC"/>
    <w:rsid w:val="0092434D"/>
    <w:rsid w:val="009329D7"/>
    <w:rsid w:val="0093523F"/>
    <w:rsid w:val="00937F66"/>
    <w:rsid w:val="009405B8"/>
    <w:rsid w:val="00943995"/>
    <w:rsid w:val="00960614"/>
    <w:rsid w:val="00962EEA"/>
    <w:rsid w:val="00971CA7"/>
    <w:rsid w:val="00975A90"/>
    <w:rsid w:val="00983896"/>
    <w:rsid w:val="00991CB3"/>
    <w:rsid w:val="009A01DB"/>
    <w:rsid w:val="009A26A1"/>
    <w:rsid w:val="009A38D1"/>
    <w:rsid w:val="009A6638"/>
    <w:rsid w:val="009B3B1A"/>
    <w:rsid w:val="009C2464"/>
    <w:rsid w:val="009C2978"/>
    <w:rsid w:val="009D0145"/>
    <w:rsid w:val="009D5CD3"/>
    <w:rsid w:val="009E34EE"/>
    <w:rsid w:val="009F6DD1"/>
    <w:rsid w:val="00A17D40"/>
    <w:rsid w:val="00A270E7"/>
    <w:rsid w:val="00A373B9"/>
    <w:rsid w:val="00A46A05"/>
    <w:rsid w:val="00A47243"/>
    <w:rsid w:val="00A51802"/>
    <w:rsid w:val="00A54449"/>
    <w:rsid w:val="00A6581B"/>
    <w:rsid w:val="00A72CFC"/>
    <w:rsid w:val="00A820B7"/>
    <w:rsid w:val="00A857F1"/>
    <w:rsid w:val="00A87B5F"/>
    <w:rsid w:val="00AA23AE"/>
    <w:rsid w:val="00AA52FC"/>
    <w:rsid w:val="00AB5754"/>
    <w:rsid w:val="00AB5B58"/>
    <w:rsid w:val="00AB7109"/>
    <w:rsid w:val="00AC1A1B"/>
    <w:rsid w:val="00AC7766"/>
    <w:rsid w:val="00AD1AF8"/>
    <w:rsid w:val="00AD4B10"/>
    <w:rsid w:val="00AD5519"/>
    <w:rsid w:val="00AE2071"/>
    <w:rsid w:val="00AE212F"/>
    <w:rsid w:val="00AE3626"/>
    <w:rsid w:val="00AE466E"/>
    <w:rsid w:val="00AF1EA3"/>
    <w:rsid w:val="00B01A96"/>
    <w:rsid w:val="00B061CB"/>
    <w:rsid w:val="00B12746"/>
    <w:rsid w:val="00B13FB6"/>
    <w:rsid w:val="00B21EE6"/>
    <w:rsid w:val="00B31641"/>
    <w:rsid w:val="00B3537A"/>
    <w:rsid w:val="00B37379"/>
    <w:rsid w:val="00B56AAE"/>
    <w:rsid w:val="00B60147"/>
    <w:rsid w:val="00B65366"/>
    <w:rsid w:val="00B667F2"/>
    <w:rsid w:val="00B70DC0"/>
    <w:rsid w:val="00B71A28"/>
    <w:rsid w:val="00B739DA"/>
    <w:rsid w:val="00B7639D"/>
    <w:rsid w:val="00B805FD"/>
    <w:rsid w:val="00BA02E4"/>
    <w:rsid w:val="00BA2C98"/>
    <w:rsid w:val="00BB5C48"/>
    <w:rsid w:val="00BB690F"/>
    <w:rsid w:val="00BD4BAC"/>
    <w:rsid w:val="00BE38C8"/>
    <w:rsid w:val="00BE56E3"/>
    <w:rsid w:val="00BF5079"/>
    <w:rsid w:val="00BF5FC0"/>
    <w:rsid w:val="00BF708D"/>
    <w:rsid w:val="00BF77C8"/>
    <w:rsid w:val="00C049C0"/>
    <w:rsid w:val="00C2482D"/>
    <w:rsid w:val="00C24C19"/>
    <w:rsid w:val="00C26759"/>
    <w:rsid w:val="00C4499A"/>
    <w:rsid w:val="00C53D29"/>
    <w:rsid w:val="00C574CC"/>
    <w:rsid w:val="00C66BAA"/>
    <w:rsid w:val="00C74B54"/>
    <w:rsid w:val="00C76135"/>
    <w:rsid w:val="00C76B70"/>
    <w:rsid w:val="00C837C9"/>
    <w:rsid w:val="00CA7224"/>
    <w:rsid w:val="00CB20EE"/>
    <w:rsid w:val="00CD60AB"/>
    <w:rsid w:val="00CE3A5A"/>
    <w:rsid w:val="00CE50C2"/>
    <w:rsid w:val="00CE727D"/>
    <w:rsid w:val="00CF16B1"/>
    <w:rsid w:val="00CF2CD6"/>
    <w:rsid w:val="00CF577F"/>
    <w:rsid w:val="00D076E0"/>
    <w:rsid w:val="00D11B19"/>
    <w:rsid w:val="00D2190F"/>
    <w:rsid w:val="00D42C21"/>
    <w:rsid w:val="00D43EFC"/>
    <w:rsid w:val="00D5178D"/>
    <w:rsid w:val="00D52B0E"/>
    <w:rsid w:val="00D54A9C"/>
    <w:rsid w:val="00D60F28"/>
    <w:rsid w:val="00D73E95"/>
    <w:rsid w:val="00D74BAE"/>
    <w:rsid w:val="00D77041"/>
    <w:rsid w:val="00D90929"/>
    <w:rsid w:val="00D949FB"/>
    <w:rsid w:val="00D950F8"/>
    <w:rsid w:val="00DA353D"/>
    <w:rsid w:val="00DC1B11"/>
    <w:rsid w:val="00DC203A"/>
    <w:rsid w:val="00DC4A11"/>
    <w:rsid w:val="00DC6951"/>
    <w:rsid w:val="00DD25A3"/>
    <w:rsid w:val="00DE5021"/>
    <w:rsid w:val="00DE7299"/>
    <w:rsid w:val="00DE780B"/>
    <w:rsid w:val="00DF4F33"/>
    <w:rsid w:val="00E07560"/>
    <w:rsid w:val="00E1782C"/>
    <w:rsid w:val="00E22F90"/>
    <w:rsid w:val="00E30577"/>
    <w:rsid w:val="00E312EA"/>
    <w:rsid w:val="00E504D9"/>
    <w:rsid w:val="00E63B55"/>
    <w:rsid w:val="00E73A6B"/>
    <w:rsid w:val="00E765CB"/>
    <w:rsid w:val="00E95586"/>
    <w:rsid w:val="00EA45BF"/>
    <w:rsid w:val="00EA7883"/>
    <w:rsid w:val="00EB5DB6"/>
    <w:rsid w:val="00EC51BA"/>
    <w:rsid w:val="00EC6167"/>
    <w:rsid w:val="00EE1F06"/>
    <w:rsid w:val="00F004EA"/>
    <w:rsid w:val="00F03DD9"/>
    <w:rsid w:val="00F142DC"/>
    <w:rsid w:val="00F17D1A"/>
    <w:rsid w:val="00F62653"/>
    <w:rsid w:val="00F74308"/>
    <w:rsid w:val="00F94A83"/>
    <w:rsid w:val="00F95BE0"/>
    <w:rsid w:val="00FA75A4"/>
    <w:rsid w:val="00FC4AF2"/>
    <w:rsid w:val="00FD09DA"/>
    <w:rsid w:val="00FD223C"/>
    <w:rsid w:val="00FD29F5"/>
    <w:rsid w:val="00FE7A4B"/>
    <w:rsid w:val="00FF26A2"/>
    <w:rsid w:val="00FF61EA"/>
    <w:rsid w:val="01740FA6"/>
    <w:rsid w:val="03277AEE"/>
    <w:rsid w:val="09BF05F1"/>
    <w:rsid w:val="0EBF5D6C"/>
    <w:rsid w:val="10C40B26"/>
    <w:rsid w:val="11860AFB"/>
    <w:rsid w:val="14645659"/>
    <w:rsid w:val="17C66775"/>
    <w:rsid w:val="18770142"/>
    <w:rsid w:val="19A02B60"/>
    <w:rsid w:val="1B067D19"/>
    <w:rsid w:val="1BC12863"/>
    <w:rsid w:val="21FA61F2"/>
    <w:rsid w:val="22503B80"/>
    <w:rsid w:val="298F17BF"/>
    <w:rsid w:val="2BE42BD3"/>
    <w:rsid w:val="2CA67E37"/>
    <w:rsid w:val="30F607F1"/>
    <w:rsid w:val="317136CD"/>
    <w:rsid w:val="31AC24EA"/>
    <w:rsid w:val="33DA7C7F"/>
    <w:rsid w:val="366337ED"/>
    <w:rsid w:val="45933C72"/>
    <w:rsid w:val="472C15E5"/>
    <w:rsid w:val="4B4345C1"/>
    <w:rsid w:val="4C3B6976"/>
    <w:rsid w:val="51DC2670"/>
    <w:rsid w:val="54E81347"/>
    <w:rsid w:val="555761E8"/>
    <w:rsid w:val="5637784C"/>
    <w:rsid w:val="57904998"/>
    <w:rsid w:val="5C690FBE"/>
    <w:rsid w:val="5FCA5CA8"/>
    <w:rsid w:val="6100648D"/>
    <w:rsid w:val="61593D0C"/>
    <w:rsid w:val="623B37C7"/>
    <w:rsid w:val="63D53BEC"/>
    <w:rsid w:val="68EB2C3F"/>
    <w:rsid w:val="68EC03E8"/>
    <w:rsid w:val="6E5B3674"/>
    <w:rsid w:val="6F0736D9"/>
    <w:rsid w:val="76817CF6"/>
    <w:rsid w:val="ADE13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rFonts w:eastAsia="仿宋_GB2312"/>
      <w:kern w:val="2"/>
      <w:sz w:val="18"/>
      <w:szCs w:val="18"/>
    </w:rPr>
  </w:style>
  <w:style w:type="paragraph" w:customStyle="1" w:styleId="9">
    <w:name w:val="中文报告书样式"/>
    <w:basedOn w:val="1"/>
    <w:link w:val="10"/>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0">
    <w:name w:val="中文报告书样式 Char1"/>
    <w:basedOn w:val="7"/>
    <w:link w:val="9"/>
    <w:qFormat/>
    <w:locked/>
    <w:uiPriority w:val="0"/>
    <w:rPr>
      <w:rFonts w:ascii="Times New Roman" w:hAnsi="Times New Roman" w:eastAsia="仿宋_GB2312"/>
      <w:kern w:val="24"/>
      <w:sz w:val="24"/>
    </w:rPr>
  </w:style>
  <w:style w:type="character" w:customStyle="1" w:styleId="11">
    <w:name w:val="批注框文本 Char"/>
    <w:basedOn w:val="7"/>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307</Words>
  <Characters>1750</Characters>
  <Lines>14</Lines>
  <Paragraphs>4</Paragraphs>
  <TotalTime>1044</TotalTime>
  <ScaleCrop>false</ScaleCrop>
  <LinksUpToDate>false</LinksUpToDate>
  <CharactersWithSpaces>2053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2017-08-16T10:57:00Z</dcterms:created>
  <dc:creator>Administrator</dc:creator>
  <cp:lastModifiedBy>许微</cp:lastModifiedBy>
  <cp:lastPrinted>2021-03-08T11:38:00Z</cp:lastPrinted>
  <dcterms:modified xsi:type="dcterms:W3CDTF">2022-09-19T10:04:09Z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AE22B846B1C54FAA8A38366E669AFAFF</vt:lpwstr>
  </property>
</Properties>
</file>